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1288E4E" w:rsidR="006927E6" w:rsidRDefault="00000000">
      <w:pPr>
        <w:jc w:val="center"/>
        <w:rPr>
          <w:b/>
        </w:rPr>
      </w:pPr>
      <w:r>
        <w:rPr>
          <w:b/>
        </w:rPr>
        <w:t>UNDERSTANDING AND RESPONDING TO ATTACKS ON</w:t>
      </w:r>
      <w:r w:rsidR="00911F5C">
        <w:rPr>
          <w:b/>
        </w:rPr>
        <w:br/>
      </w:r>
      <w:r>
        <w:rPr>
          <w:b/>
        </w:rPr>
        <w:t>“DIVERSITY, EQUITY, AND INCLUSION”</w:t>
      </w:r>
    </w:p>
    <w:p w14:paraId="00000002" w14:textId="79525E73" w:rsidR="006927E6" w:rsidRPr="0024788B" w:rsidRDefault="0024788B" w:rsidP="0024788B">
      <w:pPr>
        <w:spacing w:before="120" w:after="120"/>
        <w:jc w:val="center"/>
        <w:rPr>
          <w:bCs/>
        </w:rPr>
      </w:pPr>
      <w:r w:rsidRPr="0024788B">
        <w:rPr>
          <w:bCs/>
        </w:rPr>
        <w:t>March 7, 2023</w:t>
      </w:r>
    </w:p>
    <w:p w14:paraId="00000003" w14:textId="77777777" w:rsidR="006927E6" w:rsidRDefault="00000000">
      <w:pPr>
        <w:rPr>
          <w:b/>
        </w:rPr>
      </w:pPr>
      <w:r>
        <w:rPr>
          <w:b/>
        </w:rPr>
        <w:t>Definitions</w:t>
      </w:r>
    </w:p>
    <w:p w14:paraId="00000004" w14:textId="77777777" w:rsidR="006927E6" w:rsidRDefault="00000000">
      <w:r>
        <w:t xml:space="preserve">Diversity, Equity, and Inclusion (DEI) is a framework for promoting fair treatment and full participation for all within institutions. Often DEI programs create unique resources for those from backgrounds historically underrepresented in, and/or discriminated against by those institutions, </w:t>
      </w:r>
      <w:proofErr w:type="gramStart"/>
      <w:r>
        <w:t>including:</w:t>
      </w:r>
      <w:proofErr w:type="gramEnd"/>
      <w:r>
        <w:t xml:space="preserve"> veterans, people with disabilities, racial and ethnic minorities, women, first generation college students, working class or poor people, religious minorities, and immigrants. </w:t>
      </w:r>
    </w:p>
    <w:p w14:paraId="00000005" w14:textId="77777777" w:rsidR="006927E6" w:rsidRDefault="006927E6"/>
    <w:p w14:paraId="00000006" w14:textId="77777777" w:rsidR="006927E6" w:rsidRDefault="00000000">
      <w:r>
        <w:t xml:space="preserve">DEI programs also provide resources for those who don’t come from historically underrepresented backgrounds to understand their roles in fostering inclusive institutions for everyone. </w:t>
      </w:r>
    </w:p>
    <w:p w14:paraId="00000007" w14:textId="77777777" w:rsidR="006927E6" w:rsidRDefault="006927E6"/>
    <w:p w14:paraId="00000008" w14:textId="77777777" w:rsidR="006927E6" w:rsidRDefault="00000000">
      <w:r>
        <w:t>DEI programs function under the protection of the 14th Amendment to the US constitution, the Civil Rights Acts of 1964 and 1967, and the American Disabilities Act, among other federal laws.</w:t>
      </w:r>
    </w:p>
    <w:p w14:paraId="00000009" w14:textId="77777777" w:rsidR="006927E6" w:rsidRDefault="006927E6"/>
    <w:p w14:paraId="0000000A" w14:textId="77777777" w:rsidR="006927E6" w:rsidRDefault="00000000">
      <w:pPr>
        <w:rPr>
          <w:b/>
        </w:rPr>
      </w:pPr>
      <w:r>
        <w:rPr>
          <w:b/>
        </w:rPr>
        <w:t>What is Happening and Why?</w:t>
      </w:r>
    </w:p>
    <w:p w14:paraId="0000000B" w14:textId="77777777" w:rsidR="006927E6" w:rsidRDefault="00000000">
      <w:r>
        <w:t xml:space="preserve">Leading opponents of DEI like Christopher </w:t>
      </w:r>
      <w:proofErr w:type="spellStart"/>
      <w:r>
        <w:t>Rufo</w:t>
      </w:r>
      <w:proofErr w:type="spellEnd"/>
      <w:r>
        <w:t xml:space="preserve"> of the Manhattan Institute claim that DEI efforts promote political rather than educational aims and are divisive. </w:t>
      </w:r>
      <w:r>
        <w:rPr>
          <w:b/>
        </w:rPr>
        <w:t xml:space="preserve">Opponents of DEI like </w:t>
      </w:r>
      <w:proofErr w:type="spellStart"/>
      <w:r>
        <w:rPr>
          <w:b/>
        </w:rPr>
        <w:t>Rufo</w:t>
      </w:r>
      <w:proofErr w:type="spellEnd"/>
      <w:r>
        <w:rPr>
          <w:b/>
        </w:rPr>
        <w:t>, who is also the architect of the attacks on so-called “critical race theory,” seek to politicize higher education</w:t>
      </w:r>
      <w:r>
        <w:t xml:space="preserve"> by returning colleges and universities to a previous era when many people who currently benefit from DEI efforts, did not have equal access to public higher education. </w:t>
      </w:r>
      <w:proofErr w:type="spellStart"/>
      <w:r>
        <w:t>Rufo</w:t>
      </w:r>
      <w:proofErr w:type="spellEnd"/>
      <w:r>
        <w:t xml:space="preserve"> and his colleagues have created sample legislation that is being picked up by state lawmakers around the country. </w:t>
      </w:r>
    </w:p>
    <w:p w14:paraId="0000000C" w14:textId="77777777" w:rsidR="006927E6" w:rsidRDefault="006927E6"/>
    <w:p w14:paraId="0000000D" w14:textId="77777777" w:rsidR="006927E6" w:rsidRDefault="00000000">
      <w:pPr>
        <w:rPr>
          <w:sz w:val="21"/>
          <w:szCs w:val="21"/>
          <w:highlight w:val="white"/>
        </w:rPr>
      </w:pPr>
      <w:r>
        <w:rPr>
          <w:b/>
        </w:rPr>
        <w:t>What are the Impacts?</w:t>
      </w:r>
    </w:p>
    <w:p w14:paraId="0000000E" w14:textId="77777777" w:rsidR="006927E6" w:rsidRDefault="00000000">
      <w:pPr>
        <w:rPr>
          <w:sz w:val="21"/>
          <w:szCs w:val="21"/>
          <w:highlight w:val="white"/>
        </w:rPr>
      </w:pPr>
      <w:r>
        <w:rPr>
          <w:sz w:val="21"/>
          <w:szCs w:val="21"/>
          <w:highlight w:val="white"/>
        </w:rPr>
        <w:t xml:space="preserve"> </w:t>
      </w:r>
    </w:p>
    <w:p w14:paraId="0000000F" w14:textId="77777777" w:rsidR="006927E6" w:rsidRDefault="00000000">
      <w:pPr>
        <w:rPr>
          <w:sz w:val="21"/>
          <w:szCs w:val="21"/>
          <w:highlight w:val="white"/>
        </w:rPr>
      </w:pPr>
      <w:r>
        <w:rPr>
          <w:i/>
          <w:sz w:val="21"/>
          <w:szCs w:val="21"/>
          <w:highlight w:val="white"/>
        </w:rPr>
        <w:t>Educational</w:t>
      </w:r>
    </w:p>
    <w:p w14:paraId="00000010" w14:textId="5B5AAC69" w:rsidR="006927E6" w:rsidRDefault="00000000">
      <w:pPr>
        <w:rPr>
          <w:sz w:val="21"/>
          <w:szCs w:val="21"/>
          <w:highlight w:val="white"/>
        </w:rPr>
      </w:pPr>
      <w:r>
        <w:rPr>
          <w:sz w:val="21"/>
          <w:szCs w:val="21"/>
          <w:highlight w:val="white"/>
        </w:rPr>
        <w:t xml:space="preserve">Higher education institutions with visible and material commitments to DEI such as cultural centers, equity trainings, and </w:t>
      </w:r>
      <w:proofErr w:type="gramStart"/>
      <w:r>
        <w:rPr>
          <w:sz w:val="21"/>
          <w:szCs w:val="21"/>
          <w:highlight w:val="white"/>
        </w:rPr>
        <w:t>culturally-appropriate</w:t>
      </w:r>
      <w:proofErr w:type="gramEnd"/>
      <w:r>
        <w:rPr>
          <w:sz w:val="21"/>
          <w:szCs w:val="21"/>
          <w:highlight w:val="white"/>
        </w:rPr>
        <w:t xml:space="preserve"> mental health resources signal that all students belong and deserve access to the resources they need for educational success. </w:t>
      </w:r>
      <w:r>
        <w:rPr>
          <w:b/>
          <w:sz w:val="21"/>
          <w:szCs w:val="21"/>
          <w:highlight w:val="white"/>
        </w:rPr>
        <w:t xml:space="preserve">Eliminating DEI will signal to students from underrepresented backgrounds that the </w:t>
      </w:r>
      <w:r w:rsidR="00911F5C">
        <w:rPr>
          <w:b/>
          <w:sz w:val="21"/>
          <w:szCs w:val="21"/>
          <w:highlight w:val="white"/>
        </w:rPr>
        <w:t>S</w:t>
      </w:r>
      <w:r>
        <w:rPr>
          <w:b/>
          <w:sz w:val="21"/>
          <w:szCs w:val="21"/>
          <w:highlight w:val="white"/>
        </w:rPr>
        <w:t xml:space="preserve">tate and </w:t>
      </w:r>
      <w:r w:rsidR="00911F5C">
        <w:rPr>
          <w:b/>
          <w:sz w:val="21"/>
          <w:szCs w:val="21"/>
          <w:highlight w:val="white"/>
        </w:rPr>
        <w:t>Higher Education Institutions</w:t>
      </w:r>
      <w:r>
        <w:rPr>
          <w:b/>
          <w:sz w:val="21"/>
          <w:szCs w:val="21"/>
          <w:highlight w:val="white"/>
        </w:rPr>
        <w:t xml:space="preserve"> are not invested in their educational success.</w:t>
      </w:r>
      <w:r>
        <w:rPr>
          <w:sz w:val="21"/>
          <w:szCs w:val="21"/>
          <w:highlight w:val="white"/>
        </w:rPr>
        <w:t xml:space="preserve"> Moreover, it will deprive students from the right to learn about discrimination, diversity, equity, and inclusion from experts in these fields of research</w:t>
      </w:r>
      <w:r w:rsidR="00911F5C">
        <w:rPr>
          <w:sz w:val="21"/>
          <w:szCs w:val="21"/>
          <w:highlight w:val="white"/>
        </w:rPr>
        <w:t>.  Their experience as students with DEI programs will help prepare them for the diversity in their workplaces throughout their career.</w:t>
      </w:r>
    </w:p>
    <w:p w14:paraId="00000011" w14:textId="77777777" w:rsidR="006927E6" w:rsidRDefault="006927E6">
      <w:pPr>
        <w:rPr>
          <w:sz w:val="21"/>
          <w:szCs w:val="21"/>
          <w:highlight w:val="white"/>
        </w:rPr>
      </w:pPr>
    </w:p>
    <w:p w14:paraId="00000012" w14:textId="77777777" w:rsidR="006927E6" w:rsidRDefault="00000000">
      <w:pPr>
        <w:rPr>
          <w:i/>
        </w:rPr>
      </w:pPr>
      <w:r>
        <w:rPr>
          <w:i/>
        </w:rPr>
        <w:t>Financial</w:t>
      </w:r>
    </w:p>
    <w:p w14:paraId="00000013" w14:textId="50FDF493" w:rsidR="006927E6" w:rsidRDefault="00000000">
      <w:r>
        <w:t xml:space="preserve">Title VI of the Civil Rights Act of 1964 “provides that no person in the United States shall, on the ground of race, color, or national origin, be excluded from participation in, be denied the benefits of, or be subjected to discrimination under any program or activity receiving federal financial assistance.” </w:t>
      </w:r>
      <w:r>
        <w:rPr>
          <w:b/>
        </w:rPr>
        <w:t>If public universities have no mechanism for ensuring equity and inclusion in education, faculty may not be eligible to apply for federal grants.</w:t>
      </w:r>
      <w:r>
        <w:t xml:space="preserve"> Research proposals sent </w:t>
      </w:r>
      <w:r>
        <w:lastRenderedPageBreak/>
        <w:t xml:space="preserve">to the National Science Foundation, for example, are evaluated in part based on their DEI component. </w:t>
      </w:r>
      <w:r w:rsidR="00A3727C">
        <w:rPr>
          <w:color w:val="000000"/>
          <w:shd w:val="clear" w:color="auto" w:fill="FFFFFF"/>
        </w:rPr>
        <w:t xml:space="preserve">In fiscal year 2020, UT Austin had the </w:t>
      </w:r>
      <w:hyperlink r:id="rId5" w:history="1">
        <w:r w:rsidR="00A3727C">
          <w:rPr>
            <w:rStyle w:val="Hyperlink"/>
            <w:color w:val="0066CC"/>
            <w:shd w:val="clear" w:color="auto" w:fill="FFFFFF"/>
          </w:rPr>
          <w:t>highest National Science Foundation Funding of any university in the United States</w:t>
        </w:r>
      </w:hyperlink>
      <w:r w:rsidR="00A3727C">
        <w:rPr>
          <w:color w:val="000000"/>
          <w:shd w:val="clear" w:color="auto" w:fill="FFFFFF"/>
        </w:rPr>
        <w:t xml:space="preserve"> and the UT System hit a </w:t>
      </w:r>
      <w:hyperlink r:id="rId6" w:anchor=":~:text=Research%20expenditures%20across%20the%20University,to%20the%20Lone%20Star%20State." w:history="1">
        <w:r w:rsidR="00A3727C">
          <w:rPr>
            <w:rStyle w:val="Hyperlink"/>
            <w:color w:val="0066CC"/>
            <w:shd w:val="clear" w:color="auto" w:fill="FFFFFF"/>
          </w:rPr>
          <w:t>record $3.4B in research expenditures</w:t>
        </w:r>
      </w:hyperlink>
      <w:r w:rsidR="00A3727C">
        <w:rPr>
          <w:color w:val="000000"/>
          <w:shd w:val="clear" w:color="auto" w:fill="FFFFFF"/>
        </w:rPr>
        <w:t xml:space="preserve">.  In the same fiscal year, </w:t>
      </w:r>
      <w:hyperlink r:id="rId7" w:history="1">
        <w:r w:rsidR="00A3727C">
          <w:rPr>
            <w:rStyle w:val="Hyperlink"/>
            <w:color w:val="0066CC"/>
            <w:shd w:val="clear" w:color="auto" w:fill="FFFFFF"/>
          </w:rPr>
          <w:t xml:space="preserve">UT Austin had $797M </w:t>
        </w:r>
      </w:hyperlink>
      <w:r w:rsidR="00A3727C">
        <w:rPr>
          <w:color w:val="000000"/>
          <w:shd w:val="clear" w:color="auto" w:fill="FFFFFF"/>
        </w:rPr>
        <w:t xml:space="preserve">and </w:t>
      </w:r>
      <w:hyperlink r:id="rId8" w:anchor=":~:text=Texas%20A%26M%20had%20research%20expenditures,and%20Development%20survey%20(2020)." w:history="1">
        <w:r w:rsidR="00A3727C">
          <w:rPr>
            <w:rStyle w:val="Hyperlink"/>
            <w:color w:val="0066CC"/>
            <w:shd w:val="clear" w:color="auto" w:fill="FFFFFF"/>
          </w:rPr>
          <w:t>Texas A&amp;M University had $1.13B</w:t>
        </w:r>
      </w:hyperlink>
      <w:r w:rsidR="00A3727C">
        <w:rPr>
          <w:color w:val="000000"/>
          <w:shd w:val="clear" w:color="auto" w:fill="FFFFFF"/>
        </w:rPr>
        <w:t xml:space="preserve"> in research expenditures.</w:t>
      </w:r>
      <w:r w:rsidR="00A3727C">
        <w:t xml:space="preserve"> Our public community colleges, four-year universities, and health-related institutions </w:t>
      </w:r>
      <w:r>
        <w:t>would be at a distinct disadvantage in federal grant competitions.</w:t>
      </w:r>
      <w:r w:rsidR="00A3727C">
        <w:t xml:space="preserve">  This puts at risk the $5B per year in research funding brought in by public institutions of higher education in Texas from federal agencies, foundations, companies, and other sources.</w:t>
      </w:r>
    </w:p>
    <w:p w14:paraId="00000014" w14:textId="77777777" w:rsidR="006927E6" w:rsidRDefault="006927E6"/>
    <w:p w14:paraId="00000015" w14:textId="77777777" w:rsidR="006927E6" w:rsidRDefault="00000000">
      <w:pPr>
        <w:rPr>
          <w:i/>
        </w:rPr>
      </w:pPr>
      <w:r>
        <w:rPr>
          <w:i/>
        </w:rPr>
        <w:t>Legal</w:t>
      </w:r>
    </w:p>
    <w:p w14:paraId="00000016" w14:textId="77777777" w:rsidR="006927E6" w:rsidRDefault="00000000">
      <w:r>
        <w:t xml:space="preserve">Without a DEI framework that can ensure equal protection under the law as granted by the 14th amendment of the US constitution, or that faculty, staff, and students are not excluded from participation in, denied benefits of, or subjected to discrimination under any program or activity receiving federal financial assistance, </w:t>
      </w:r>
      <w:r>
        <w:rPr>
          <w:b/>
        </w:rPr>
        <w:t>public universities will be subject to lengthy and expensive lawsuits</w:t>
      </w:r>
      <w:r>
        <w:t>.</w:t>
      </w:r>
    </w:p>
    <w:p w14:paraId="00000017" w14:textId="77777777" w:rsidR="006927E6" w:rsidRDefault="006927E6"/>
    <w:p w14:paraId="00000018" w14:textId="77777777" w:rsidR="006927E6" w:rsidRDefault="00000000">
      <w:pPr>
        <w:rPr>
          <w:i/>
        </w:rPr>
      </w:pPr>
      <w:r>
        <w:rPr>
          <w:i/>
        </w:rPr>
        <w:t>Discriminatory</w:t>
      </w:r>
    </w:p>
    <w:p w14:paraId="00000019" w14:textId="77777777" w:rsidR="006927E6" w:rsidRDefault="00000000">
      <w:pPr>
        <w:rPr>
          <w:b/>
        </w:rPr>
      </w:pPr>
      <w:r>
        <w:t xml:space="preserve">Although opponents of DEI seem most concerned with the issues of race, gender, and sexuality, DEI efforts are much more expansive, challenging discrimination against veterans, working class and poor students, first generation students, and religious minorities. Many students experience discrimination and face challenges based on more than one of these categories simultaneously. </w:t>
      </w:r>
      <w:r>
        <w:rPr>
          <w:b/>
        </w:rPr>
        <w:t xml:space="preserve">Without a DEI framework on campus, students such as disabled veterans, working class veterans, veterans of color, or Jewish or Muslim veterans are likely to experience discrimination in ways that universities will no longer be able to address. </w:t>
      </w:r>
    </w:p>
    <w:p w14:paraId="0000001A" w14:textId="77777777" w:rsidR="006927E6" w:rsidRDefault="006927E6">
      <w:pPr>
        <w:rPr>
          <w:sz w:val="21"/>
          <w:szCs w:val="21"/>
          <w:highlight w:val="white"/>
        </w:rPr>
      </w:pPr>
    </w:p>
    <w:p w14:paraId="0000001B" w14:textId="77777777" w:rsidR="006927E6" w:rsidRDefault="00000000">
      <w:pPr>
        <w:rPr>
          <w:b/>
        </w:rPr>
      </w:pPr>
      <w:r>
        <w:rPr>
          <w:b/>
        </w:rPr>
        <w:t>Additional Talking Points</w:t>
      </w:r>
    </w:p>
    <w:p w14:paraId="0000001C" w14:textId="77777777" w:rsidR="006927E6" w:rsidRDefault="006927E6"/>
    <w:p w14:paraId="0000001D" w14:textId="77777777" w:rsidR="006927E6" w:rsidRDefault="00000000">
      <w:r>
        <w:t xml:space="preserve">Although opponents position DEI efforts as a </w:t>
      </w:r>
      <w:proofErr w:type="gramStart"/>
      <w:r>
        <w:t>bloated bureaucracies</w:t>
      </w:r>
      <w:proofErr w:type="gramEnd"/>
      <w:r>
        <w:t xml:space="preserve">, </w:t>
      </w:r>
      <w:r>
        <w:rPr>
          <w:b/>
        </w:rPr>
        <w:t>DEI is woven into the very fabric of universities</w:t>
      </w:r>
      <w:r>
        <w:t xml:space="preserve"> and are what make Texas universities world-class institutions, on par with all of our peers. </w:t>
      </w:r>
    </w:p>
    <w:p w14:paraId="0000001E" w14:textId="77777777" w:rsidR="006927E6" w:rsidRDefault="006927E6"/>
    <w:p w14:paraId="0000001F" w14:textId="77777777" w:rsidR="006927E6" w:rsidRDefault="00000000">
      <w:r>
        <w:rPr>
          <w:b/>
        </w:rPr>
        <w:t>DEI efforts ensure that students are supported in every aspect of their lives</w:t>
      </w:r>
      <w:r>
        <w:t xml:space="preserve">: food banks; classroom accessibility; </w:t>
      </w:r>
      <w:proofErr w:type="gramStart"/>
      <w:r>
        <w:t>culturally-relevant</w:t>
      </w:r>
      <w:proofErr w:type="gramEnd"/>
      <w:r>
        <w:t xml:space="preserve"> programming and community building; offices that address the unique needs of veterans, first-generation students, and rural students; mental and physical health clinics; and offices that assist students in addressing harms such as harassment or violence. </w:t>
      </w:r>
    </w:p>
    <w:p w14:paraId="00000020" w14:textId="77777777" w:rsidR="006927E6" w:rsidRDefault="006927E6"/>
    <w:p w14:paraId="00000021" w14:textId="77777777" w:rsidR="006927E6" w:rsidRDefault="00000000">
      <w:r>
        <w:rPr>
          <w:b/>
        </w:rPr>
        <w:t xml:space="preserve">DEI efforts ensure that hiring practices are fair </w:t>
      </w:r>
      <w:r>
        <w:t xml:space="preserve">and that hiring committees don’t do harm to excellent candidates by asking illegal questions, failing to accommodate disability or parenting needs, or otherwise behaving inappropriately. DEI efforts ensure that whether a person gets a job at a Texas university, they feel their application was treated fairly. </w:t>
      </w:r>
    </w:p>
    <w:p w14:paraId="00000022" w14:textId="77777777" w:rsidR="006927E6" w:rsidRDefault="006927E6"/>
    <w:p w14:paraId="00000023" w14:textId="77777777" w:rsidR="006927E6" w:rsidRDefault="00000000">
      <w:r>
        <w:lastRenderedPageBreak/>
        <w:t>DEI efforts ensure that when a researcher submits a grant, they have adequately addressed the DEI component per the funder’s requirements. DEI is an integral part of most federal grants.</w:t>
      </w:r>
    </w:p>
    <w:p w14:paraId="00000024" w14:textId="77777777" w:rsidR="006927E6" w:rsidRDefault="006927E6"/>
    <w:p w14:paraId="00000025" w14:textId="77777777" w:rsidR="006927E6" w:rsidRDefault="00000000">
      <w:r>
        <w:rPr>
          <w:b/>
        </w:rPr>
        <w:t xml:space="preserve">DEI efforts also ensure that faculty are adequately prepared to teach a diverse student body. </w:t>
      </w:r>
      <w:r>
        <w:t>Many Texas universities have been given the federal designation of Hispanic Serving Institution (HSI), which indicates that they have a student body of at least 25% Hispanic students and that they have adequately built an infrastructure of “</w:t>
      </w:r>
      <w:proofErr w:type="spellStart"/>
      <w:r>
        <w:t>servingness</w:t>
      </w:r>
      <w:proofErr w:type="spellEnd"/>
      <w:r>
        <w:t xml:space="preserve">.” </w:t>
      </w:r>
      <w:proofErr w:type="spellStart"/>
      <w:r>
        <w:t>Servingness</w:t>
      </w:r>
      <w:proofErr w:type="spellEnd"/>
      <w:r>
        <w:t xml:space="preserve"> refers to the move from enrolling Hispanic students to ensuring that the institution serves their unique needs. HSI status opens institutions to millions of dollars in federal grants for which they would otherwise be ineligible. HSIs </w:t>
      </w:r>
      <w:hyperlink r:id="rId9">
        <w:r>
          <w:rPr>
            <w:color w:val="1155CC"/>
            <w:u w:val="single"/>
          </w:rPr>
          <w:t>serve 66% of Hispanic students</w:t>
        </w:r>
      </w:hyperlink>
      <w:r>
        <w:t xml:space="preserve"> nationwide.</w:t>
      </w:r>
    </w:p>
    <w:p w14:paraId="00000026" w14:textId="77777777" w:rsidR="006927E6" w:rsidRDefault="006927E6"/>
    <w:p w14:paraId="00000027" w14:textId="77777777" w:rsidR="006927E6" w:rsidRDefault="00000000">
      <w:pPr>
        <w:rPr>
          <w:b/>
        </w:rPr>
      </w:pPr>
      <w:r>
        <w:t xml:space="preserve">DEI efforts on university campuses respond to the communities in which universities are embedded. As the demographics of Texas change, universities must change to ensure that a diverse student body has an equal opportunity to achieve the great education our state institutions offer. </w:t>
      </w:r>
      <w:r>
        <w:rPr>
          <w:b/>
        </w:rPr>
        <w:t xml:space="preserve">DEI is one of the most important tools that universities </w:t>
      </w:r>
      <w:proofErr w:type="gramStart"/>
      <w:r>
        <w:rPr>
          <w:b/>
        </w:rPr>
        <w:t>have to</w:t>
      </w:r>
      <w:proofErr w:type="gramEnd"/>
      <w:r>
        <w:rPr>
          <w:b/>
        </w:rPr>
        <w:t xml:space="preserve"> ensure that they serve the communities they live in and the students who come from those communities to earn their degrees. </w:t>
      </w:r>
    </w:p>
    <w:p w14:paraId="00000028" w14:textId="77777777" w:rsidR="006927E6" w:rsidRDefault="006927E6"/>
    <w:p w14:paraId="00000029" w14:textId="342A27D6" w:rsidR="006927E6" w:rsidRDefault="00000000">
      <w:pPr>
        <w:rPr>
          <w:b/>
        </w:rPr>
      </w:pPr>
      <w:r>
        <w:t xml:space="preserve">The language of HB 1006 insists that an institution’s responsibility is to “foster a diversity of viewpoints.” This is a threat to academic freedom because it implies that all viewpoints, even those not based in a field’s best research, must be considered. From STEM to social science, humanities, and arts, the point of classroom education is not to foster a diversity of viewpoints, but to provide students with tools for critical thinking. </w:t>
      </w:r>
      <w:r>
        <w:rPr>
          <w:b/>
        </w:rPr>
        <w:t xml:space="preserve">Fostering viewpoints is akin to indoctrination. </w:t>
      </w:r>
    </w:p>
    <w:p w14:paraId="0000002A" w14:textId="77777777" w:rsidR="006927E6" w:rsidRDefault="006927E6"/>
    <w:p w14:paraId="0000002B" w14:textId="77777777" w:rsidR="006927E6" w:rsidRDefault="00000000">
      <w:r>
        <w:t xml:space="preserve">HB 1006 insists that an institution’s responsibility is to “maintain, political, social, and cultural neutrality.” There is no such thing as neutrality. That’s </w:t>
      </w:r>
      <w:proofErr w:type="gramStart"/>
      <w:r>
        <w:t>actually a</w:t>
      </w:r>
      <w:proofErr w:type="gramEnd"/>
      <w:r>
        <w:t xml:space="preserve"> good thing. Research produces evidence that helps all of us to discern which perspectives hold more merit than others. </w:t>
      </w:r>
      <w:r>
        <w:rPr>
          <w:b/>
        </w:rPr>
        <w:t>To maintain neutrality would require teaching perspectives in the classroom that are meritless.</w:t>
      </w:r>
      <w:r>
        <w:t xml:space="preserve"> </w:t>
      </w:r>
    </w:p>
    <w:p w14:paraId="0000002C" w14:textId="77777777" w:rsidR="006927E6" w:rsidRDefault="006927E6"/>
    <w:p w14:paraId="0000002D" w14:textId="77777777" w:rsidR="006927E6" w:rsidRDefault="00000000">
      <w:r>
        <w:t xml:space="preserve">Even if it were theoretically possible to maintain neutrality, the implementation of “neutrality tests” in research, teaching, and campus cultural life would not only infringe on academic freedom, but it would be a logistical nightmare. How would neutrality be determined? </w:t>
      </w:r>
      <w:r>
        <w:rPr>
          <w:b/>
        </w:rPr>
        <w:t>Who would be tasked with making such determinations and adjudicating complaints?</w:t>
      </w:r>
      <w:r>
        <w:t xml:space="preserve"> Moreover, even if it were possible, the cost of implementing such a bureaucracy would likely be astronomical.</w:t>
      </w:r>
    </w:p>
    <w:p w14:paraId="0000002E" w14:textId="77777777" w:rsidR="006927E6" w:rsidRDefault="006927E6"/>
    <w:p w14:paraId="0000002F" w14:textId="77777777" w:rsidR="006927E6" w:rsidRDefault="00000000">
      <w:r>
        <w:t xml:space="preserve">Opponents of DEI programs worry that historically advantaged groups will lose opportunities and that the introduction of new values, cultures or expectations will pose a threat to their rights. Some also worry that if historically advantaged groups learn about their group’s role in perpetuating inequality, that this will cause mental distress. </w:t>
      </w:r>
      <w:r>
        <w:rPr>
          <w:b/>
        </w:rPr>
        <w:t xml:space="preserve">But DEI frameworks create more opportunities for more people. </w:t>
      </w:r>
      <w:r>
        <w:t xml:space="preserve">The introduction of new values promotes new resources for all </w:t>
      </w:r>
      <w:r>
        <w:lastRenderedPageBreak/>
        <w:t xml:space="preserve">people to function more fully in a diverse society. DEI frameworks do not blame </w:t>
      </w:r>
      <w:proofErr w:type="gramStart"/>
      <w:r>
        <w:t>individuals, but</w:t>
      </w:r>
      <w:proofErr w:type="gramEnd"/>
      <w:r>
        <w:t xml:space="preserve"> provide resources for all people to participate in creating hospitable environments for everyone.</w:t>
      </w:r>
    </w:p>
    <w:p w14:paraId="00000030" w14:textId="77777777" w:rsidR="006927E6" w:rsidRDefault="006927E6"/>
    <w:p w14:paraId="00000031" w14:textId="77777777" w:rsidR="006927E6" w:rsidRDefault="00000000">
      <w:r>
        <w:t xml:space="preserve">Presently, and as is well documented, even with existing DEI efforts, students from underrepresented backgrounds experience mental distress from the weight of discrimination. </w:t>
      </w:r>
      <w:r>
        <w:rPr>
          <w:b/>
        </w:rPr>
        <w:t>More, not fewer DEI programs are warranted.</w:t>
      </w:r>
      <w:r>
        <w:t xml:space="preserve"> “According to the U.S. Department of Education Office of Planning, Evaluation, and Policy Development (</w:t>
      </w:r>
      <w:hyperlink r:id="rId10">
        <w:r>
          <w:rPr>
            <w:color w:val="10147E"/>
          </w:rPr>
          <w:t>2016</w:t>
        </w:r>
      </w:hyperlink>
      <w:r>
        <w:t>), colleges that engage in the strategies listed below have realized improvement with respect to the representation and outcomes of students of color:</w:t>
      </w:r>
    </w:p>
    <w:p w14:paraId="00000032" w14:textId="77777777" w:rsidR="006927E6" w:rsidRDefault="00000000">
      <w:pPr>
        <w:numPr>
          <w:ilvl w:val="0"/>
          <w:numId w:val="1"/>
        </w:numPr>
      </w:pPr>
      <w:r>
        <w:t xml:space="preserve">Institutional commitment to promoting student body diversity and inclusion on </w:t>
      </w:r>
      <w:proofErr w:type="gramStart"/>
      <w:r>
        <w:t>campus</w:t>
      </w:r>
      <w:proofErr w:type="gramEnd"/>
    </w:p>
    <w:p w14:paraId="00000033" w14:textId="77777777" w:rsidR="006927E6" w:rsidRDefault="00000000">
      <w:pPr>
        <w:numPr>
          <w:ilvl w:val="0"/>
          <w:numId w:val="1"/>
        </w:numPr>
      </w:pPr>
      <w:r>
        <w:t>Diversity across all levels of an institution</w:t>
      </w:r>
    </w:p>
    <w:p w14:paraId="00000034" w14:textId="77777777" w:rsidR="006927E6" w:rsidRDefault="00000000">
      <w:pPr>
        <w:numPr>
          <w:ilvl w:val="0"/>
          <w:numId w:val="1"/>
        </w:numPr>
      </w:pPr>
      <w:r>
        <w:t>Outreach and recruitment of diverse body of prospective students</w:t>
      </w:r>
    </w:p>
    <w:p w14:paraId="00000035" w14:textId="77777777" w:rsidR="006927E6" w:rsidRDefault="00000000">
      <w:pPr>
        <w:numPr>
          <w:ilvl w:val="0"/>
          <w:numId w:val="1"/>
        </w:numPr>
      </w:pPr>
      <w:r>
        <w:t>Support services for diverse students</w:t>
      </w:r>
    </w:p>
    <w:p w14:paraId="00000036" w14:textId="77777777" w:rsidR="006927E6" w:rsidRDefault="00000000">
      <w:pPr>
        <w:numPr>
          <w:ilvl w:val="0"/>
          <w:numId w:val="1"/>
        </w:numPr>
      </w:pPr>
      <w:r>
        <w:t>An inclusive campus” (</w:t>
      </w:r>
      <w:hyperlink r:id="rId11">
        <w:r>
          <w:rPr>
            <w:color w:val="1155CC"/>
            <w:u w:val="single"/>
          </w:rPr>
          <w:t>Cumming et al. 2023</w:t>
        </w:r>
      </w:hyperlink>
      <w:r>
        <w:t>)</w:t>
      </w:r>
    </w:p>
    <w:p w14:paraId="00000037" w14:textId="77777777" w:rsidR="006927E6" w:rsidRDefault="006927E6"/>
    <w:p w14:paraId="00000038" w14:textId="77777777" w:rsidR="006927E6" w:rsidRDefault="00000000">
      <w:pPr>
        <w:rPr>
          <w:b/>
        </w:rPr>
      </w:pPr>
      <w:r>
        <w:t>Programs such as First-Year Interest Groups (FIGs), which are designed to bring diverse first-year students into a cohort when they arrive on campus are akin to the Texas “howdy”: they say that everyone is welcome here. At UT-Austin,</w:t>
      </w:r>
      <w:r>
        <w:rPr>
          <w:b/>
        </w:rPr>
        <w:t xml:space="preserve"> FIGs are directly correlated with </w:t>
      </w:r>
      <w:hyperlink r:id="rId12" w:anchor=":~:text=The%20six-year%20graduation%20rate%20rose%20to%2087.6%25%2C%20up,high%20of%2096.7%25%2C%20up%201.0%25%20from%20last%20fall.">
        <w:r>
          <w:rPr>
            <w:b/>
            <w:color w:val="1155CC"/>
            <w:u w:val="single"/>
          </w:rPr>
          <w:t>first-year student retention rates</w:t>
        </w:r>
      </w:hyperlink>
      <w:r>
        <w:rPr>
          <w:b/>
        </w:rPr>
        <w:t xml:space="preserve"> (96.7%), and UT Austin’s very high four and six-year graduation rates (72.2% and 86.7% respectively).</w:t>
      </w:r>
    </w:p>
    <w:p w14:paraId="00000039" w14:textId="77777777" w:rsidR="006927E6" w:rsidRDefault="006927E6"/>
    <w:p w14:paraId="0000003A" w14:textId="77777777" w:rsidR="006927E6" w:rsidRDefault="00000000">
      <w:r>
        <w:t xml:space="preserve">Prioritizing diversity in university settings is valuable for everyone. </w:t>
      </w:r>
    </w:p>
    <w:p w14:paraId="0000003B" w14:textId="77777777" w:rsidR="006927E6" w:rsidRDefault="00000000">
      <w:pPr>
        <w:numPr>
          <w:ilvl w:val="0"/>
          <w:numId w:val="2"/>
        </w:numPr>
      </w:pPr>
      <w:r>
        <w:t xml:space="preserve">It prepares students for the varieties of differences they will continue to </w:t>
      </w:r>
      <w:proofErr w:type="gramStart"/>
      <w:r>
        <w:t>encounter</w:t>
      </w:r>
      <w:proofErr w:type="gramEnd"/>
    </w:p>
    <w:p w14:paraId="0000003C" w14:textId="77777777" w:rsidR="006927E6" w:rsidRDefault="00000000">
      <w:pPr>
        <w:numPr>
          <w:ilvl w:val="2"/>
          <w:numId w:val="2"/>
        </w:numPr>
      </w:pPr>
      <w:r>
        <w:t>In the many of professions they will go on to have</w:t>
      </w:r>
    </w:p>
    <w:p w14:paraId="0000003D" w14:textId="77777777" w:rsidR="006927E6" w:rsidRDefault="00000000">
      <w:pPr>
        <w:numPr>
          <w:ilvl w:val="2"/>
          <w:numId w:val="2"/>
        </w:numPr>
      </w:pPr>
      <w:r>
        <w:t>In the different contexts in which they will live</w:t>
      </w:r>
    </w:p>
    <w:p w14:paraId="0000003E" w14:textId="77777777" w:rsidR="006927E6" w:rsidRDefault="00000000">
      <w:pPr>
        <w:numPr>
          <w:ilvl w:val="0"/>
          <w:numId w:val="2"/>
        </w:numPr>
      </w:pPr>
      <w:r>
        <w:t xml:space="preserve">It makes them more dynamic, adaptive, thoughtful participants in </w:t>
      </w:r>
    </w:p>
    <w:p w14:paraId="0000003F" w14:textId="77777777" w:rsidR="006927E6" w:rsidRDefault="00000000">
      <w:pPr>
        <w:numPr>
          <w:ilvl w:val="2"/>
          <w:numId w:val="2"/>
        </w:numPr>
      </w:pPr>
      <w:r>
        <w:t>Workplace life</w:t>
      </w:r>
    </w:p>
    <w:p w14:paraId="00000040" w14:textId="77777777" w:rsidR="006927E6" w:rsidRDefault="00000000">
      <w:pPr>
        <w:numPr>
          <w:ilvl w:val="2"/>
          <w:numId w:val="2"/>
        </w:numPr>
      </w:pPr>
      <w:r>
        <w:t>Civic life</w:t>
      </w:r>
    </w:p>
    <w:p w14:paraId="00000041" w14:textId="77777777" w:rsidR="006927E6" w:rsidRDefault="00000000">
      <w:pPr>
        <w:numPr>
          <w:ilvl w:val="0"/>
          <w:numId w:val="2"/>
        </w:numPr>
      </w:pPr>
      <w:r>
        <w:t xml:space="preserve">It is an essential tool in their inalienable right to the pursuit of </w:t>
      </w:r>
      <w:proofErr w:type="gramStart"/>
      <w:r>
        <w:t>happiness</w:t>
      </w:r>
      <w:proofErr w:type="gramEnd"/>
    </w:p>
    <w:p w14:paraId="00000042" w14:textId="77777777" w:rsidR="006927E6" w:rsidRDefault="006927E6"/>
    <w:sectPr w:rsidR="006927E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CB2C63"/>
    <w:multiLevelType w:val="multilevel"/>
    <w:tmpl w:val="03402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73F20B2"/>
    <w:multiLevelType w:val="multilevel"/>
    <w:tmpl w:val="FA60F1BE"/>
    <w:lvl w:ilvl="0">
      <w:start w:val="1"/>
      <w:numFmt w:val="bullet"/>
      <w:lvlText w:val="●"/>
      <w:lvlJc w:val="left"/>
      <w:pPr>
        <w:ind w:left="720" w:hanging="360"/>
      </w:pPr>
      <w:rPr>
        <w:rFonts w:ascii="Arial" w:eastAsia="Arial" w:hAnsi="Arial" w:cs="Arial"/>
        <w:color w:val="333333"/>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7386797">
    <w:abstractNumId w:val="1"/>
  </w:num>
  <w:num w:numId="2" w16cid:durableId="1376736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7E6"/>
    <w:rsid w:val="0024788B"/>
    <w:rsid w:val="006927E6"/>
    <w:rsid w:val="00911F5C"/>
    <w:rsid w:val="00A37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6FC7A9"/>
  <w15:docId w15:val="{4A5314BC-C9E2-BB47-AFC0-6678C7555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A372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pr.tamu.edu/about-the-division/research-ranking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search.utexas.edu/highlights/" TargetMode="External"/><Relationship Id="rId12" Type="http://schemas.openxmlformats.org/officeDocument/2006/relationships/hyperlink" Target="https://news.utexas.edu/2020/09/22/four-year-graduation-rate-tops-70-as-ut-austin-admits-one-of-its-largest-first-year-clas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tsystem.edu/news/2021/04/26/ut-system-research-expenditures-hit-record-34-billion" TargetMode="External"/><Relationship Id="rId11" Type="http://schemas.openxmlformats.org/officeDocument/2006/relationships/hyperlink" Target="https://www.tandfonline.com/doi/abs/10.1080/00091383.2023.2151802?journalCode=vchn20" TargetMode="External"/><Relationship Id="rId5" Type="http://schemas.openxmlformats.org/officeDocument/2006/relationships/hyperlink" Target="https://news.utexas.edu/2022/01/18/ut-austin-no-1-in-nsf-funding-in-united-states/" TargetMode="External"/><Relationship Id="rId10" Type="http://schemas.openxmlformats.org/officeDocument/2006/relationships/hyperlink" Target="https://www.tandfonline.com/doi/full/10.1080/00091383.2023.2151802" TargetMode="External"/><Relationship Id="rId4" Type="http://schemas.openxmlformats.org/officeDocument/2006/relationships/webSettings" Target="webSettings.xml"/><Relationship Id="rId9" Type="http://schemas.openxmlformats.org/officeDocument/2006/relationships/hyperlink" Target="https://www.equityinhighered.org/resources/ideas-and-insights/defining-servingness-at-hispanic-serving-institutions-hsis-practical-implications-for-hsi-leader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1746</Words>
  <Characters>9958</Characters>
  <Application>Microsoft Office Word</Application>
  <DocSecurity>0</DocSecurity>
  <Lines>82</Lines>
  <Paragraphs>23</Paragraphs>
  <ScaleCrop>false</ScaleCrop>
  <Company/>
  <LinksUpToDate>false</LinksUpToDate>
  <CharactersWithSpaces>11681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halftoning@icloud.com</cp:lastModifiedBy>
  <cp:revision>4</cp:revision>
  <dcterms:created xsi:type="dcterms:W3CDTF">2023-03-07T14:55:00Z</dcterms:created>
  <dcterms:modified xsi:type="dcterms:W3CDTF">2023-03-07T15:19:00Z</dcterms:modified>
</cp:coreProperties>
</file>